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73" w:rsidRDefault="00A70AB5">
      <w:pPr>
        <w:spacing w:after="17" w:line="264" w:lineRule="auto"/>
        <w:ind w:left="43" w:hanging="10"/>
        <w:jc w:val="left"/>
      </w:pPr>
      <w:bookmarkStart w:id="0" w:name="_GoBack"/>
      <w:bookmarkEnd w:id="0"/>
      <w:r>
        <w:rPr>
          <w:sz w:val="26"/>
        </w:rPr>
        <w:t>IN THE 51</w:t>
      </w:r>
      <w:r>
        <w:rPr>
          <w:sz w:val="26"/>
          <w:vertAlign w:val="superscript"/>
        </w:rPr>
        <w:t xml:space="preserve">ST </w:t>
      </w:r>
      <w:r>
        <w:rPr>
          <w:sz w:val="26"/>
        </w:rPr>
        <w:t>JUDICIAL DISTRICT COURT</w:t>
      </w:r>
    </w:p>
    <w:p w:rsidR="000E2373" w:rsidRDefault="00A70AB5">
      <w:pPr>
        <w:spacing w:after="7" w:line="264" w:lineRule="auto"/>
        <w:ind w:left="43" w:hanging="10"/>
        <w:jc w:val="left"/>
      </w:pPr>
      <w:r>
        <w:rPr>
          <w:sz w:val="26"/>
        </w:rPr>
        <w:t>IN THE 119</w:t>
      </w:r>
      <w:r>
        <w:rPr>
          <w:sz w:val="26"/>
          <w:vertAlign w:val="superscript"/>
        </w:rPr>
        <w:t xml:space="preserve">TH </w:t>
      </w:r>
      <w:r>
        <w:rPr>
          <w:sz w:val="26"/>
        </w:rPr>
        <w:t>JUDICIAL DISTRICT COURT</w:t>
      </w:r>
      <w:r>
        <w:rPr>
          <w:noProof/>
        </w:rPr>
        <w:drawing>
          <wp:inline distT="0" distB="0" distL="0" distR="0">
            <wp:extent cx="3048" cy="3049"/>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8"/>
                    <a:stretch>
                      <a:fillRect/>
                    </a:stretch>
                  </pic:blipFill>
                  <pic:spPr>
                    <a:xfrm>
                      <a:off x="0" y="0"/>
                      <a:ext cx="3048" cy="3049"/>
                    </a:xfrm>
                    <a:prstGeom prst="rect">
                      <a:avLst/>
                    </a:prstGeom>
                  </pic:spPr>
                </pic:pic>
              </a:graphicData>
            </a:graphic>
          </wp:inline>
        </w:drawing>
      </w:r>
    </w:p>
    <w:p w:rsidR="000E2373" w:rsidRDefault="00A70AB5" w:rsidP="00800818">
      <w:pPr>
        <w:spacing w:after="244" w:line="264" w:lineRule="auto"/>
        <w:ind w:left="43" w:right="3804" w:hanging="10"/>
        <w:jc w:val="left"/>
      </w:pPr>
      <w:r>
        <w:rPr>
          <w:sz w:val="26"/>
        </w:rPr>
        <w:t>IN THE 340</w:t>
      </w:r>
      <w:r>
        <w:rPr>
          <w:sz w:val="26"/>
          <w:vertAlign w:val="superscript"/>
        </w:rPr>
        <w:t xml:space="preserve">TH </w:t>
      </w:r>
      <w:r>
        <w:rPr>
          <w:sz w:val="26"/>
        </w:rPr>
        <w:t xml:space="preserve">JUDICIAL DISTRICT </w:t>
      </w:r>
      <w:r w:rsidR="00800818">
        <w:rPr>
          <w:sz w:val="26"/>
        </w:rPr>
        <w:t>C</w:t>
      </w:r>
      <w:r>
        <w:rPr>
          <w:sz w:val="26"/>
        </w:rPr>
        <w:t xml:space="preserve">OURT IN THE 391 </w:t>
      </w:r>
      <w:r>
        <w:rPr>
          <w:sz w:val="26"/>
          <w:vertAlign w:val="superscript"/>
        </w:rPr>
        <w:t xml:space="preserve">ST </w:t>
      </w:r>
      <w:r>
        <w:rPr>
          <w:sz w:val="26"/>
        </w:rPr>
        <w:t>JUDICIAL DISTRICT COURT</w:t>
      </w:r>
    </w:p>
    <w:p w:rsidR="000E2373" w:rsidRDefault="00A70AB5">
      <w:pPr>
        <w:spacing w:after="220"/>
        <w:ind w:firstLine="0"/>
        <w:jc w:val="center"/>
      </w:pPr>
      <w:r>
        <w:rPr>
          <w:sz w:val="26"/>
          <w:u w:val="single" w:color="000000"/>
        </w:rPr>
        <w:t>SCHEDULE OF FEES FOR APPOINTED ATTORNEYS</w:t>
      </w:r>
    </w:p>
    <w:p w:rsidR="000E2373" w:rsidRDefault="00A70AB5">
      <w:pPr>
        <w:ind w:left="33" w:right="67"/>
      </w:pPr>
      <w:r>
        <w:t>The following guidelines and rules have been approved by the above Courts regarding payment of fees and expenses of attorneys who are appointed under Texas Code of Criminal Procedure §26.05.</w:t>
      </w:r>
    </w:p>
    <w:p w:rsidR="000E2373" w:rsidRDefault="00A70AB5">
      <w:pPr>
        <w:ind w:left="33" w:right="67"/>
      </w:pPr>
      <w:r>
        <w:t>I. Fixed Fees.</w:t>
      </w:r>
    </w:p>
    <w:p w:rsidR="000E2373" w:rsidRDefault="00A70AB5">
      <w:pPr>
        <w:spacing w:after="0"/>
        <w:ind w:left="33" w:right="67"/>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862584</wp:posOffset>
                </wp:positionH>
                <wp:positionV relativeFrom="page">
                  <wp:posOffset>9226044</wp:posOffset>
                </wp:positionV>
                <wp:extent cx="5916169" cy="12195"/>
                <wp:effectExtent l="0" t="0" r="0" b="0"/>
                <wp:wrapTopAndBottom/>
                <wp:docPr id="29107" name="Group 29107"/>
                <wp:cNvGraphicFramePr/>
                <a:graphic xmlns:a="http://schemas.openxmlformats.org/drawingml/2006/main">
                  <a:graphicData uri="http://schemas.microsoft.com/office/word/2010/wordprocessingGroup">
                    <wpg:wgp>
                      <wpg:cNvGrpSpPr/>
                      <wpg:grpSpPr>
                        <a:xfrm>
                          <a:off x="0" y="0"/>
                          <a:ext cx="5916169" cy="12195"/>
                          <a:chOff x="0" y="0"/>
                          <a:chExt cx="5916169" cy="12195"/>
                        </a:xfrm>
                      </wpg:grpSpPr>
                      <wps:wsp>
                        <wps:cNvPr id="29106" name="Shape 29106"/>
                        <wps:cNvSpPr/>
                        <wps:spPr>
                          <a:xfrm>
                            <a:off x="0" y="0"/>
                            <a:ext cx="5916169" cy="12195"/>
                          </a:xfrm>
                          <a:custGeom>
                            <a:avLst/>
                            <a:gdLst/>
                            <a:ahLst/>
                            <a:cxnLst/>
                            <a:rect l="0" t="0" r="0" b="0"/>
                            <a:pathLst>
                              <a:path w="5916169" h="12195">
                                <a:moveTo>
                                  <a:pt x="0" y="6098"/>
                                </a:moveTo>
                                <a:lnTo>
                                  <a:pt x="5916169"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107" style="width:465.84pt;height:0.960266pt;position:absolute;mso-position-horizontal-relative:page;mso-position-horizontal:absolute;margin-left:67.92pt;mso-position-vertical-relative:page;margin-top:726.46pt;" coordsize="59161,121">
                <v:shape id="Shape 29106" style="position:absolute;width:59161;height:121;left:0;top:0;" coordsize="5916169,12195" path="m0,6098l5916169,6098">
                  <v:stroke weight="0.960266pt" endcap="flat" joinstyle="miter" miterlimit="1" on="true" color="#000000"/>
                  <v:fill on="false" color="#000000"/>
                </v:shape>
                <w10:wrap type="topAndBottom"/>
              </v:group>
            </w:pict>
          </mc:Fallback>
        </mc:AlternateContent>
      </w:r>
      <w:r>
        <w:t>The following fixed fees are approved for all time spent in court on behalf of the defendant, all reasonable and necessary time spent out of court in the case, and all expenses incurred by the attorney in the case, except for such expenses approved by the Court in a prior Order.</w:t>
      </w:r>
    </w:p>
    <w:tbl>
      <w:tblPr>
        <w:tblStyle w:val="TableGrid"/>
        <w:tblW w:w="9313" w:type="dxa"/>
        <w:tblInd w:w="40" w:type="dxa"/>
        <w:tblCellMar>
          <w:top w:w="144" w:type="dxa"/>
          <w:bottom w:w="60" w:type="dxa"/>
          <w:right w:w="94" w:type="dxa"/>
        </w:tblCellMar>
        <w:tblLook w:val="04A0" w:firstRow="1" w:lastRow="0" w:firstColumn="1" w:lastColumn="0" w:noHBand="0" w:noVBand="1"/>
      </w:tblPr>
      <w:tblGrid>
        <w:gridCol w:w="838"/>
        <w:gridCol w:w="6094"/>
        <w:gridCol w:w="2381"/>
      </w:tblGrid>
      <w:tr w:rsidR="000E2373">
        <w:trPr>
          <w:trHeight w:val="427"/>
        </w:trPr>
        <w:tc>
          <w:tcPr>
            <w:tcW w:w="838" w:type="dxa"/>
            <w:tcBorders>
              <w:top w:val="single" w:sz="2" w:space="0" w:color="000000"/>
              <w:left w:val="single" w:sz="2" w:space="0" w:color="000000"/>
              <w:bottom w:val="single" w:sz="2" w:space="0" w:color="000000"/>
              <w:right w:val="nil"/>
            </w:tcBorders>
          </w:tcPr>
          <w:p w:rsidR="000E2373" w:rsidRDefault="00A70AB5">
            <w:pPr>
              <w:spacing w:after="0"/>
              <w:ind w:left="123" w:firstLine="0"/>
              <w:jc w:val="left"/>
            </w:pPr>
            <w:r>
              <w:rPr>
                <w:sz w:val="22"/>
              </w:rPr>
              <w:t>a.</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5" w:firstLine="0"/>
              <w:jc w:val="left"/>
            </w:pPr>
            <w:r>
              <w:t>Guilty pleas or plea of no contest before the court</w:t>
            </w:r>
          </w:p>
        </w:tc>
        <w:tc>
          <w:tcPr>
            <w:tcW w:w="2381"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127" w:firstLine="0"/>
              <w:jc w:val="left"/>
            </w:pPr>
            <w:r>
              <w:t>$750.00</w:t>
            </w:r>
          </w:p>
        </w:tc>
      </w:tr>
      <w:tr w:rsidR="000E2373">
        <w:trPr>
          <w:trHeight w:val="432"/>
        </w:trPr>
        <w:tc>
          <w:tcPr>
            <w:tcW w:w="838" w:type="dxa"/>
            <w:tcBorders>
              <w:top w:val="single" w:sz="2" w:space="0" w:color="000000"/>
              <w:left w:val="single" w:sz="2" w:space="0" w:color="000000"/>
              <w:bottom w:val="single" w:sz="2" w:space="0" w:color="000000"/>
              <w:right w:val="nil"/>
            </w:tcBorders>
            <w:vAlign w:val="center"/>
          </w:tcPr>
          <w:p w:rsidR="000E2373" w:rsidRDefault="00A70AB5">
            <w:pPr>
              <w:spacing w:after="0"/>
              <w:ind w:left="123" w:firstLine="0"/>
              <w:jc w:val="left"/>
            </w:pPr>
            <w:r>
              <w:t>b.</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0" w:firstLine="0"/>
              <w:jc w:val="left"/>
            </w:pPr>
            <w:r>
              <w:t>True plea to a Motion to Revoke</w:t>
            </w:r>
          </w:p>
        </w:tc>
        <w:tc>
          <w:tcPr>
            <w:tcW w:w="2381"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127" w:firstLine="0"/>
              <w:jc w:val="left"/>
            </w:pPr>
            <w:r>
              <w:t>$750.00</w:t>
            </w:r>
          </w:p>
        </w:tc>
      </w:tr>
      <w:tr w:rsidR="000E2373">
        <w:trPr>
          <w:trHeight w:val="426"/>
        </w:trPr>
        <w:tc>
          <w:tcPr>
            <w:tcW w:w="838" w:type="dxa"/>
            <w:tcBorders>
              <w:top w:val="single" w:sz="2" w:space="0" w:color="000000"/>
              <w:left w:val="single" w:sz="2" w:space="0" w:color="000000"/>
              <w:bottom w:val="single" w:sz="2" w:space="0" w:color="000000"/>
              <w:right w:val="nil"/>
            </w:tcBorders>
            <w:vAlign w:val="center"/>
          </w:tcPr>
          <w:p w:rsidR="000E2373" w:rsidRPr="008C5356" w:rsidRDefault="00A70AB5">
            <w:pPr>
              <w:spacing w:after="0"/>
              <w:ind w:left="128" w:firstLine="0"/>
              <w:jc w:val="left"/>
              <w:rPr>
                <w:szCs w:val="20"/>
              </w:rPr>
            </w:pPr>
            <w:r w:rsidRPr="008C5356">
              <w:rPr>
                <w:szCs w:val="20"/>
              </w:rPr>
              <w:t>c.</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0" w:firstLine="0"/>
              <w:jc w:val="left"/>
            </w:pPr>
            <w:r>
              <w:t>Motion to Revoke resolved by Amended Conditions of Probation</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127" w:firstLine="0"/>
              <w:jc w:val="left"/>
            </w:pPr>
            <w:r>
              <w:t>$250.00</w:t>
            </w:r>
          </w:p>
        </w:tc>
      </w:tr>
      <w:tr w:rsidR="000E2373">
        <w:trPr>
          <w:trHeight w:val="655"/>
        </w:trPr>
        <w:tc>
          <w:tcPr>
            <w:tcW w:w="838" w:type="dxa"/>
            <w:tcBorders>
              <w:top w:val="single" w:sz="2" w:space="0" w:color="000000"/>
              <w:left w:val="single" w:sz="2" w:space="0" w:color="000000"/>
              <w:bottom w:val="single" w:sz="2" w:space="0" w:color="000000"/>
              <w:right w:val="nil"/>
            </w:tcBorders>
          </w:tcPr>
          <w:p w:rsidR="000E2373" w:rsidRDefault="00A70AB5">
            <w:pPr>
              <w:spacing w:after="0"/>
              <w:ind w:left="128" w:firstLine="0"/>
              <w:jc w:val="left"/>
            </w:pPr>
            <w:r>
              <w:rPr>
                <w:rFonts w:ascii="Calibri" w:eastAsia="Calibri" w:hAnsi="Calibri" w:cs="Calibri"/>
                <w:sz w:val="22"/>
              </w:rPr>
              <w:t>d.</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0" w:firstLine="5"/>
            </w:pPr>
            <w:r>
              <w:t>In a second case involving the same Defendant that is disposed of</w:t>
            </w:r>
            <w:r w:rsidR="008C5356">
              <w:t xml:space="preserve"> </w:t>
            </w:r>
            <w:r>
              <w:t>as part of the Plea in another case</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127" w:firstLine="0"/>
              <w:jc w:val="left"/>
            </w:pPr>
            <w:r>
              <w:t>$750.00</w:t>
            </w:r>
          </w:p>
        </w:tc>
      </w:tr>
      <w:tr w:rsidR="000E2373">
        <w:trPr>
          <w:trHeight w:val="656"/>
        </w:trPr>
        <w:tc>
          <w:tcPr>
            <w:tcW w:w="838" w:type="dxa"/>
            <w:tcBorders>
              <w:top w:val="single" w:sz="2" w:space="0" w:color="000000"/>
              <w:left w:val="single" w:sz="2" w:space="0" w:color="000000"/>
              <w:bottom w:val="single" w:sz="2" w:space="0" w:color="000000"/>
              <w:right w:val="nil"/>
            </w:tcBorders>
          </w:tcPr>
          <w:p w:rsidR="000E2373" w:rsidRDefault="00A70AB5">
            <w:pPr>
              <w:spacing w:after="0"/>
              <w:ind w:left="123" w:firstLine="0"/>
              <w:jc w:val="left"/>
            </w:pPr>
            <w:r>
              <w:rPr>
                <w:sz w:val="22"/>
              </w:rPr>
              <w:t>e.</w:t>
            </w:r>
          </w:p>
        </w:tc>
        <w:tc>
          <w:tcPr>
            <w:tcW w:w="6094" w:type="dxa"/>
            <w:tcBorders>
              <w:top w:val="single" w:sz="2" w:space="0" w:color="000000"/>
              <w:left w:val="nil"/>
              <w:bottom w:val="single" w:sz="2" w:space="0" w:color="000000"/>
              <w:right w:val="single" w:sz="2" w:space="0" w:color="000000"/>
            </w:tcBorders>
          </w:tcPr>
          <w:p w:rsidR="000E2373" w:rsidRDefault="00A70AB5">
            <w:pPr>
              <w:spacing w:after="0"/>
              <w:ind w:left="5"/>
            </w:pPr>
            <w:r>
              <w:t>In third and subsequent cases involving the same defendant that are disposed of as a result of a plea in another case</w:t>
            </w:r>
          </w:p>
        </w:tc>
        <w:tc>
          <w:tcPr>
            <w:tcW w:w="2381"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122" w:firstLine="0"/>
            </w:pPr>
            <w:r>
              <w:t>$250 to $400 per case as determined by the court.</w:t>
            </w:r>
          </w:p>
        </w:tc>
      </w:tr>
    </w:tbl>
    <w:p w:rsidR="000E2373" w:rsidRDefault="00A70AB5">
      <w:pPr>
        <w:ind w:left="33" w:right="67"/>
      </w:pPr>
      <w:r>
        <w:t>Il. Hourly Fees, Trial of Non-capital Cases.</w:t>
      </w:r>
    </w:p>
    <w:p w:rsidR="000E2373" w:rsidRDefault="00A70AB5">
      <w:pPr>
        <w:spacing w:after="3"/>
        <w:ind w:left="33" w:right="67"/>
      </w:pPr>
      <w:r>
        <w:t>The Court will determine the appropriate hourly rate based upon the complexity of the case and the experience and ability of the appointed attorney. Except in Capital cases, for services as a trial attorney, the following are the minimum and maximum hourly rates:</w:t>
      </w:r>
    </w:p>
    <w:tbl>
      <w:tblPr>
        <w:tblStyle w:val="TableGrid"/>
        <w:tblW w:w="9256" w:type="dxa"/>
        <w:tblInd w:w="87" w:type="dxa"/>
        <w:tblCellMar>
          <w:top w:w="152" w:type="dxa"/>
          <w:left w:w="122" w:type="dxa"/>
          <w:right w:w="115" w:type="dxa"/>
        </w:tblCellMar>
        <w:tblLook w:val="04A0" w:firstRow="1" w:lastRow="0" w:firstColumn="1" w:lastColumn="0" w:noHBand="0" w:noVBand="1"/>
      </w:tblPr>
      <w:tblGrid>
        <w:gridCol w:w="6875"/>
        <w:gridCol w:w="2381"/>
      </w:tblGrid>
      <w:tr w:rsidR="000E2373" w:rsidTr="008C5356">
        <w:trPr>
          <w:trHeight w:val="424"/>
        </w:trPr>
        <w:tc>
          <w:tcPr>
            <w:tcW w:w="6875"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Maximum hourly rate, SJF and 3rd Degree</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$90.00</w:t>
            </w:r>
          </w:p>
        </w:tc>
      </w:tr>
      <w:tr w:rsidR="000E2373" w:rsidTr="008C5356">
        <w:trPr>
          <w:trHeight w:val="427"/>
        </w:trPr>
        <w:tc>
          <w:tcPr>
            <w:tcW w:w="6875"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Maximum hourly rate, 1st and 2nd degree</w:t>
            </w:r>
          </w:p>
        </w:tc>
        <w:tc>
          <w:tcPr>
            <w:tcW w:w="2381"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$125.00</w:t>
            </w:r>
          </w:p>
        </w:tc>
      </w:tr>
      <w:tr w:rsidR="000E2373" w:rsidTr="008C5356">
        <w:trPr>
          <w:trHeight w:val="484"/>
        </w:trPr>
        <w:tc>
          <w:tcPr>
            <w:tcW w:w="6875"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0" w:firstLine="0"/>
              <w:jc w:val="left"/>
            </w:pPr>
            <w:r>
              <w:t>Hourly rate for travel time</w:t>
            </w:r>
          </w:p>
        </w:tc>
        <w:tc>
          <w:tcPr>
            <w:tcW w:w="2381"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5" w:firstLine="0"/>
              <w:jc w:val="left"/>
            </w:pPr>
            <w:r>
              <w:t>$30.00</w:t>
            </w:r>
          </w:p>
        </w:tc>
      </w:tr>
      <w:tr w:rsidR="000E2373" w:rsidTr="008C5356">
        <w:trPr>
          <w:trHeight w:val="454"/>
        </w:trPr>
        <w:tc>
          <w:tcPr>
            <w:tcW w:w="6875"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5" w:firstLine="0"/>
              <w:jc w:val="left"/>
            </w:pPr>
            <w:r>
              <w:t>Hourly Rate, MTR</w:t>
            </w:r>
          </w:p>
        </w:tc>
        <w:tc>
          <w:tcPr>
            <w:tcW w:w="2381" w:type="dxa"/>
            <w:tcBorders>
              <w:top w:val="single" w:sz="2" w:space="0" w:color="000000"/>
              <w:left w:val="single" w:sz="2" w:space="0" w:color="000000"/>
              <w:bottom w:val="single" w:sz="2" w:space="0" w:color="000000"/>
              <w:right w:val="single" w:sz="2" w:space="0" w:color="000000"/>
            </w:tcBorders>
            <w:vAlign w:val="center"/>
          </w:tcPr>
          <w:p w:rsidR="000E2373" w:rsidRDefault="00A70AB5">
            <w:pPr>
              <w:spacing w:after="0"/>
              <w:ind w:left="0" w:firstLine="0"/>
              <w:jc w:val="left"/>
            </w:pPr>
            <w:r>
              <w:t>$75.00</w:t>
            </w:r>
          </w:p>
        </w:tc>
      </w:tr>
    </w:tbl>
    <w:p w:rsidR="008C5356" w:rsidRDefault="008C5356">
      <w:pPr>
        <w:ind w:left="33" w:right="67"/>
      </w:pPr>
    </w:p>
    <w:p w:rsidR="000E2373" w:rsidRDefault="00A70AB5">
      <w:pPr>
        <w:ind w:left="33" w:right="67"/>
      </w:pPr>
      <w:r>
        <w:t>The fee is for services rendered until charges are dismissed, the defendant is acquitted, completion of trial and any post-trial proceedings in the trial court (including filing and presenting a Motion for New Trial), or the attorney is relieved of duties by the court or replaced by other counsel.</w:t>
      </w:r>
    </w:p>
    <w:p w:rsidR="000E2373" w:rsidRDefault="00A70AB5">
      <w:pPr>
        <w:ind w:left="33" w:right="67"/>
      </w:pPr>
      <w:r>
        <w:lastRenderedPageBreak/>
        <w:t>If an attorney is appointed to represent a Defendant in multiple cases and the attorney requests a fee based on an hourly rate, the attorney shall submit one request for attorney fees that is for all time spent on all of the cases. Unless requested by the court, it is not necessary for the attorney to divide the time among the several cases.</w:t>
      </w:r>
    </w:p>
    <w:p w:rsidR="000E2373" w:rsidRDefault="00A70AB5">
      <w:pPr>
        <w:spacing w:after="187"/>
        <w:ind w:left="33" w:right="67"/>
      </w:pPr>
      <w:r>
        <w:t>Ill. Capital Cases.</w:t>
      </w:r>
    </w:p>
    <w:p w:rsidR="000E2373" w:rsidRDefault="00A70AB5">
      <w:pPr>
        <w:spacing w:after="0"/>
        <w:ind w:left="33" w:right="67"/>
      </w:pPr>
      <w:r>
        <w:t>The Court may deviate from this schedule if necessary to appoint qualified counsel. Subject to the availability of qualified attorneys, the following are the hourly rates in Capital cases:</w:t>
      </w:r>
    </w:p>
    <w:tbl>
      <w:tblPr>
        <w:tblStyle w:val="TableGrid"/>
        <w:tblW w:w="9256" w:type="dxa"/>
        <w:tblInd w:w="87" w:type="dxa"/>
        <w:tblCellMar>
          <w:top w:w="151" w:type="dxa"/>
          <w:left w:w="122" w:type="dxa"/>
          <w:right w:w="115" w:type="dxa"/>
        </w:tblCellMar>
        <w:tblLook w:val="04A0" w:firstRow="1" w:lastRow="0" w:firstColumn="1" w:lastColumn="0" w:noHBand="0" w:noVBand="1"/>
      </w:tblPr>
      <w:tblGrid>
        <w:gridCol w:w="6870"/>
        <w:gridCol w:w="2386"/>
      </w:tblGrid>
      <w:tr w:rsidR="000E2373" w:rsidTr="008C5356">
        <w:trPr>
          <w:trHeight w:val="423"/>
        </w:trPr>
        <w:tc>
          <w:tcPr>
            <w:tcW w:w="6870"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lead counsel</w:t>
            </w:r>
          </w:p>
        </w:tc>
        <w:tc>
          <w:tcPr>
            <w:tcW w:w="2386"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$125.00</w:t>
            </w:r>
          </w:p>
        </w:tc>
      </w:tr>
      <w:tr w:rsidR="000E2373" w:rsidTr="006A4C20">
        <w:trPr>
          <w:trHeight w:val="427"/>
        </w:trPr>
        <w:tc>
          <w:tcPr>
            <w:tcW w:w="6870"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second chair</w:t>
            </w:r>
          </w:p>
        </w:tc>
        <w:tc>
          <w:tcPr>
            <w:tcW w:w="2386"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$80.00</w:t>
            </w:r>
          </w:p>
        </w:tc>
      </w:tr>
      <w:tr w:rsidR="000E2373" w:rsidTr="006A4C20">
        <w:trPr>
          <w:trHeight w:val="427"/>
        </w:trPr>
        <w:tc>
          <w:tcPr>
            <w:tcW w:w="6870"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travel time</w:t>
            </w:r>
          </w:p>
        </w:tc>
        <w:tc>
          <w:tcPr>
            <w:tcW w:w="2386"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5" w:firstLine="0"/>
              <w:jc w:val="left"/>
            </w:pPr>
            <w:r>
              <w:t>$40.00</w:t>
            </w:r>
          </w:p>
        </w:tc>
      </w:tr>
    </w:tbl>
    <w:p w:rsidR="000E2373" w:rsidRDefault="00A70AB5">
      <w:pPr>
        <w:numPr>
          <w:ilvl w:val="0"/>
          <w:numId w:val="1"/>
        </w:numPr>
        <w:ind w:left="450" w:right="67" w:hanging="422"/>
      </w:pPr>
      <w:r>
        <w:t>Appeals.</w:t>
      </w:r>
    </w:p>
    <w:p w:rsidR="000E2373" w:rsidRDefault="00A70AB5">
      <w:pPr>
        <w:spacing w:after="0"/>
        <w:ind w:left="33" w:right="67"/>
      </w:pPr>
      <w:r>
        <w:rPr>
          <w:noProof/>
        </w:rPr>
        <w:drawing>
          <wp:inline distT="0" distB="0" distL="0" distR="0">
            <wp:extent cx="3048" cy="3049"/>
            <wp:effectExtent l="0" t="0" r="0" b="0"/>
            <wp:docPr id="6225" name="Picture 6225"/>
            <wp:cNvGraphicFramePr/>
            <a:graphic xmlns:a="http://schemas.openxmlformats.org/drawingml/2006/main">
              <a:graphicData uri="http://schemas.openxmlformats.org/drawingml/2006/picture">
                <pic:pic xmlns:pic="http://schemas.openxmlformats.org/drawingml/2006/picture">
                  <pic:nvPicPr>
                    <pic:cNvPr id="6225" name="Picture 6225"/>
                    <pic:cNvPicPr/>
                  </pic:nvPicPr>
                  <pic:blipFill>
                    <a:blip r:embed="rId9"/>
                    <a:stretch>
                      <a:fillRect/>
                    </a:stretch>
                  </pic:blipFill>
                  <pic:spPr>
                    <a:xfrm>
                      <a:off x="0" y="0"/>
                      <a:ext cx="3048" cy="3049"/>
                    </a:xfrm>
                    <a:prstGeom prst="rect">
                      <a:avLst/>
                    </a:prstGeom>
                  </pic:spPr>
                </pic:pic>
              </a:graphicData>
            </a:graphic>
          </wp:inline>
        </w:drawing>
      </w:r>
      <w:r>
        <w:t>The Court will determine the appropriate hourly rate based upon the complexity of the case and the experience and ability of the appointed attorney. Generally, the following are the minimum and maximum hourly rates:</w:t>
      </w:r>
    </w:p>
    <w:tbl>
      <w:tblPr>
        <w:tblStyle w:val="TableGrid"/>
        <w:tblW w:w="9250" w:type="dxa"/>
        <w:tblInd w:w="87" w:type="dxa"/>
        <w:tblCellMar>
          <w:top w:w="156" w:type="dxa"/>
          <w:left w:w="122" w:type="dxa"/>
          <w:bottom w:w="72" w:type="dxa"/>
          <w:right w:w="115" w:type="dxa"/>
        </w:tblCellMar>
        <w:tblLook w:val="04A0" w:firstRow="1" w:lastRow="0" w:firstColumn="1" w:lastColumn="0" w:noHBand="0" w:noVBand="1"/>
      </w:tblPr>
      <w:tblGrid>
        <w:gridCol w:w="6868"/>
        <w:gridCol w:w="2382"/>
      </w:tblGrid>
      <w:tr w:rsidR="000E2373" w:rsidTr="006A4C20">
        <w:trPr>
          <w:trHeight w:val="424"/>
        </w:trPr>
        <w:tc>
          <w:tcPr>
            <w:tcW w:w="6868"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Minimum hourly rate</w:t>
            </w:r>
          </w:p>
        </w:tc>
        <w:tc>
          <w:tcPr>
            <w:tcW w:w="2382"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3" w:firstLine="0"/>
              <w:jc w:val="left"/>
            </w:pPr>
            <w:r>
              <w:t>$75.00</w:t>
            </w:r>
          </w:p>
        </w:tc>
      </w:tr>
      <w:tr w:rsidR="000E2373" w:rsidTr="006A4C20">
        <w:trPr>
          <w:trHeight w:val="427"/>
        </w:trPr>
        <w:tc>
          <w:tcPr>
            <w:tcW w:w="6868"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Maximum hourly rate</w:t>
            </w:r>
          </w:p>
        </w:tc>
        <w:tc>
          <w:tcPr>
            <w:tcW w:w="2382" w:type="dxa"/>
            <w:tcBorders>
              <w:top w:val="single" w:sz="2" w:space="0" w:color="000000"/>
              <w:left w:val="single" w:sz="2" w:space="0" w:color="000000"/>
              <w:bottom w:val="single" w:sz="2" w:space="0" w:color="000000"/>
              <w:right w:val="single" w:sz="2" w:space="0" w:color="000000"/>
            </w:tcBorders>
            <w:vAlign w:val="bottom"/>
          </w:tcPr>
          <w:p w:rsidR="000E2373" w:rsidRDefault="00A70AB5">
            <w:pPr>
              <w:spacing w:after="0"/>
              <w:ind w:left="3" w:firstLine="0"/>
              <w:jc w:val="left"/>
            </w:pPr>
            <w:r>
              <w:t>$75.00</w:t>
            </w:r>
          </w:p>
        </w:tc>
      </w:tr>
      <w:tr w:rsidR="000E2373" w:rsidTr="006A4C20">
        <w:trPr>
          <w:trHeight w:val="426"/>
        </w:trPr>
        <w:tc>
          <w:tcPr>
            <w:tcW w:w="6868"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0" w:firstLine="0"/>
              <w:jc w:val="left"/>
            </w:pPr>
            <w:r>
              <w:t>Hourly rate for travel time</w:t>
            </w:r>
          </w:p>
        </w:tc>
        <w:tc>
          <w:tcPr>
            <w:tcW w:w="2382" w:type="dxa"/>
            <w:tcBorders>
              <w:top w:val="single" w:sz="2" w:space="0" w:color="000000"/>
              <w:left w:val="single" w:sz="2" w:space="0" w:color="000000"/>
              <w:bottom w:val="single" w:sz="2" w:space="0" w:color="000000"/>
              <w:right w:val="single" w:sz="2" w:space="0" w:color="000000"/>
            </w:tcBorders>
          </w:tcPr>
          <w:p w:rsidR="000E2373" w:rsidRDefault="00A70AB5">
            <w:pPr>
              <w:spacing w:after="0"/>
              <w:ind w:left="8" w:firstLine="0"/>
              <w:jc w:val="left"/>
            </w:pPr>
            <w:r>
              <w:t>$30.00</w:t>
            </w:r>
          </w:p>
        </w:tc>
      </w:tr>
    </w:tbl>
    <w:p w:rsidR="000E2373" w:rsidRDefault="00A70AB5">
      <w:pPr>
        <w:spacing w:after="192"/>
        <w:ind w:left="33" w:right="67"/>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862584</wp:posOffset>
                </wp:positionH>
                <wp:positionV relativeFrom="page">
                  <wp:posOffset>9219946</wp:posOffset>
                </wp:positionV>
                <wp:extent cx="5916169" cy="12195"/>
                <wp:effectExtent l="0" t="0" r="0" b="0"/>
                <wp:wrapTopAndBottom/>
                <wp:docPr id="29109" name="Group 29109"/>
                <wp:cNvGraphicFramePr/>
                <a:graphic xmlns:a="http://schemas.openxmlformats.org/drawingml/2006/main">
                  <a:graphicData uri="http://schemas.microsoft.com/office/word/2010/wordprocessingGroup">
                    <wpg:wgp>
                      <wpg:cNvGrpSpPr/>
                      <wpg:grpSpPr>
                        <a:xfrm>
                          <a:off x="0" y="0"/>
                          <a:ext cx="5916169" cy="12195"/>
                          <a:chOff x="0" y="0"/>
                          <a:chExt cx="5916169" cy="12195"/>
                        </a:xfrm>
                      </wpg:grpSpPr>
                      <wps:wsp>
                        <wps:cNvPr id="29108" name="Shape 29108"/>
                        <wps:cNvSpPr/>
                        <wps:spPr>
                          <a:xfrm>
                            <a:off x="0" y="0"/>
                            <a:ext cx="5916169" cy="12195"/>
                          </a:xfrm>
                          <a:custGeom>
                            <a:avLst/>
                            <a:gdLst/>
                            <a:ahLst/>
                            <a:cxnLst/>
                            <a:rect l="0" t="0" r="0" b="0"/>
                            <a:pathLst>
                              <a:path w="5916169" h="12195">
                                <a:moveTo>
                                  <a:pt x="0" y="6097"/>
                                </a:moveTo>
                                <a:lnTo>
                                  <a:pt x="5916169"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109" style="width:465.84pt;height:0.960266pt;position:absolute;mso-position-horizontal-relative:page;mso-position-horizontal:absolute;margin-left:67.92pt;mso-position-vertical-relative:page;margin-top:725.98pt;" coordsize="59161,121">
                <v:shape id="Shape 29108" style="position:absolute;width:59161;height:121;left:0;top:0;" coordsize="5916169,12195" path="m0,6097l5916169,6097">
                  <v:stroke weight="0.960266pt" endcap="flat" joinstyle="miter" miterlimit="1" on="true" color="#000000"/>
                  <v:fill on="false" color="#000000"/>
                </v:shape>
                <w10:wrap type="topAndBottom"/>
              </v:group>
            </w:pict>
          </mc:Fallback>
        </mc:AlternateContent>
      </w:r>
      <w:r>
        <w:t>This fee is for services rendered for all appellate services.</w:t>
      </w:r>
    </w:p>
    <w:p w:rsidR="000E2373" w:rsidRDefault="00A70AB5">
      <w:pPr>
        <w:numPr>
          <w:ilvl w:val="0"/>
          <w:numId w:val="1"/>
        </w:numPr>
        <w:ind w:left="450" w:right="67" w:hanging="422"/>
      </w:pPr>
      <w:r>
        <w:t>Expenses and Non Standard Fees.</w:t>
      </w:r>
    </w:p>
    <w:p w:rsidR="000E2373" w:rsidRDefault="00A70AB5">
      <w:pPr>
        <w:ind w:left="33" w:right="67"/>
      </w:pPr>
      <w:r>
        <w:t>Except as provided below, attorneys should request approval from the Court for expenses before incurring the following: travel, investigation, expert witness fees and other expenses. Following are the guidelines for expenses:</w:t>
      </w:r>
    </w:p>
    <w:p w:rsidR="000E2373" w:rsidRDefault="00A70AB5">
      <w:pPr>
        <w:numPr>
          <w:ilvl w:val="0"/>
          <w:numId w:val="2"/>
        </w:numPr>
        <w:ind w:right="67"/>
      </w:pPr>
      <w:r>
        <w:t xml:space="preserve">Travel: Travel by private automobile is reimbursed at the state employee mileage rate, , plus parking fees. Attorneys do not need pre-approval for travel within the counties that comprise the 51 </w:t>
      </w:r>
      <w:r>
        <w:rPr>
          <w:vertAlign w:val="superscript"/>
        </w:rPr>
        <w:t>st</w:t>
      </w:r>
      <w:r>
        <w:t>, 1 1 9</w:t>
      </w:r>
      <w:r>
        <w:rPr>
          <w:vertAlign w:val="superscript"/>
        </w:rPr>
        <w:t>th</w:t>
      </w:r>
      <w:r>
        <w:t>, 340</w:t>
      </w:r>
      <w:r>
        <w:rPr>
          <w:vertAlign w:val="superscript"/>
        </w:rPr>
        <w:t xml:space="preserve">th </w:t>
      </w:r>
      <w:r>
        <w:t xml:space="preserve">and 391 </w:t>
      </w:r>
      <w:r>
        <w:rPr>
          <w:vertAlign w:val="superscript"/>
        </w:rPr>
        <w:t xml:space="preserve">st </w:t>
      </w:r>
      <w:r>
        <w:t>Judicial Districts. Other means of travel will be reimbursed for the actual costs of regular fares. Expenses for meals and lodging •are reimbursed at the state employee rates. Despite the above schedule, all out-of-state travel and travel by commercial transportation must be pre-approved by the court.</w:t>
      </w:r>
    </w:p>
    <w:p w:rsidR="000E2373" w:rsidRDefault="00A70AB5">
      <w:pPr>
        <w:numPr>
          <w:ilvl w:val="0"/>
          <w:numId w:val="2"/>
        </w:numPr>
        <w:ind w:right="67"/>
      </w:pPr>
      <w:r>
        <w:t>Investigation and Expert Witnesses: Investigation expenses and expert expenses are governed by the Code of Criminal Procedure Articles 26.05(d) and 26.0520, (g) and (h). See also the "Second Supplement to Tom Green County Indigent Defense Policy" dated June 24, 2003. Ordinarily, investigation by private investigators shall be at a rate not to exceed $35.00 per hour for investigation and $25.00 per hour for travel.</w:t>
      </w:r>
    </w:p>
    <w:p w:rsidR="000E2373" w:rsidRDefault="00A70AB5">
      <w:pPr>
        <w:numPr>
          <w:ilvl w:val="0"/>
          <w:numId w:val="3"/>
        </w:numPr>
        <w:ind w:right="67" w:hanging="485"/>
      </w:pPr>
      <w:r>
        <w:t>Request for Attorney Fees.</w:t>
      </w:r>
      <w:r>
        <w:rPr>
          <w:noProof/>
        </w:rPr>
        <w:drawing>
          <wp:inline distT="0" distB="0" distL="0" distR="0">
            <wp:extent cx="3048" cy="3049"/>
            <wp:effectExtent l="0" t="0" r="0" b="0"/>
            <wp:docPr id="6226" name="Picture 6226"/>
            <wp:cNvGraphicFramePr/>
            <a:graphic xmlns:a="http://schemas.openxmlformats.org/drawingml/2006/main">
              <a:graphicData uri="http://schemas.openxmlformats.org/drawingml/2006/picture">
                <pic:pic xmlns:pic="http://schemas.openxmlformats.org/drawingml/2006/picture">
                  <pic:nvPicPr>
                    <pic:cNvPr id="6226" name="Picture 6226"/>
                    <pic:cNvPicPr/>
                  </pic:nvPicPr>
                  <pic:blipFill>
                    <a:blip r:embed="rId10"/>
                    <a:stretch>
                      <a:fillRect/>
                    </a:stretch>
                  </pic:blipFill>
                  <pic:spPr>
                    <a:xfrm>
                      <a:off x="0" y="0"/>
                      <a:ext cx="3048" cy="3049"/>
                    </a:xfrm>
                    <a:prstGeom prst="rect">
                      <a:avLst/>
                    </a:prstGeom>
                  </pic:spPr>
                </pic:pic>
              </a:graphicData>
            </a:graphic>
          </wp:inline>
        </w:drawing>
      </w:r>
    </w:p>
    <w:p w:rsidR="000E2373" w:rsidRDefault="00A70AB5">
      <w:pPr>
        <w:ind w:left="33" w:right="67"/>
      </w:pPr>
      <w:r>
        <w:rPr>
          <w:noProof/>
        </w:rPr>
        <w:drawing>
          <wp:inline distT="0" distB="0" distL="0" distR="0">
            <wp:extent cx="3048" cy="3049"/>
            <wp:effectExtent l="0" t="0" r="0" b="0"/>
            <wp:docPr id="6227" name="Picture 6227"/>
            <wp:cNvGraphicFramePr/>
            <a:graphic xmlns:a="http://schemas.openxmlformats.org/drawingml/2006/main">
              <a:graphicData uri="http://schemas.openxmlformats.org/drawingml/2006/picture">
                <pic:pic xmlns:pic="http://schemas.openxmlformats.org/drawingml/2006/picture">
                  <pic:nvPicPr>
                    <pic:cNvPr id="6227" name="Picture 6227"/>
                    <pic:cNvPicPr/>
                  </pic:nvPicPr>
                  <pic:blipFill>
                    <a:blip r:embed="rId11"/>
                    <a:stretch>
                      <a:fillRect/>
                    </a:stretch>
                  </pic:blipFill>
                  <pic:spPr>
                    <a:xfrm>
                      <a:off x="0" y="0"/>
                      <a:ext cx="3048" cy="3049"/>
                    </a:xfrm>
                    <a:prstGeom prst="rect">
                      <a:avLst/>
                    </a:prstGeom>
                  </pic:spPr>
                </pic:pic>
              </a:graphicData>
            </a:graphic>
          </wp:inline>
        </w:drawing>
      </w:r>
      <w:r>
        <w:t>"No payment shall be made under this section until the form for reporting the services performed is submitted and approved by the court and is in accordance with the fee schedule for that county." Texas Code of Criminal Procedure Art. 26.05.</w:t>
      </w:r>
    </w:p>
    <w:p w:rsidR="000E2373" w:rsidRDefault="00A70AB5">
      <w:pPr>
        <w:ind w:left="33" w:right="67"/>
      </w:pPr>
      <w:r>
        <w:lastRenderedPageBreak/>
        <w:t>The Courts have approved a form "Request for Attorney Fees", a copy of which is attached. If an attorney is requesting a fixed fee, the attorney must complete Section I of the Request. If the attorney is requesting a fee based on an hourly rate, the attorney must complete Section Il of the Request, including attaching a time sheet that describes the date services were performed, a brief description of those services, the time spent (which must be in increments of 1/10th of an hour), and the hourly rate requested. Claims for either services, expenses or both will be considered only if properly documented.</w:t>
      </w:r>
    </w:p>
    <w:p w:rsidR="000E2373" w:rsidRDefault="00A70AB5">
      <w:pPr>
        <w:numPr>
          <w:ilvl w:val="0"/>
          <w:numId w:val="3"/>
        </w:numPr>
        <w:spacing w:after="262"/>
        <w:ind w:right="67" w:hanging="485"/>
      </w:pPr>
      <w:r>
        <w:t>Non Standard Fees and Miscellaneous Provisions.</w:t>
      </w:r>
    </w:p>
    <w:p w:rsidR="000E2373" w:rsidRDefault="00A70AB5">
      <w:pPr>
        <w:spacing w:after="244"/>
        <w:ind w:left="28" w:right="67" w:firstLine="38"/>
      </w:pPr>
      <w:r>
        <w:t>In the interest of</w:t>
      </w:r>
      <w:r w:rsidR="00BE5A43">
        <w:t xml:space="preserve"> </w:t>
      </w:r>
      <w:r>
        <w:t>justice, for</w:t>
      </w:r>
      <w:r w:rsidR="00BE5A43">
        <w:t xml:space="preserve"> </w:t>
      </w:r>
      <w:r>
        <w:t>just cause, or in exceptional cases, the Court in its discretion may approve</w:t>
      </w:r>
      <w:r w:rsidR="00BE5A43">
        <w:t xml:space="preserve"> </w:t>
      </w:r>
      <w:r>
        <w:t>fees that differ from this schedule.</w:t>
      </w:r>
      <w:r>
        <w:rPr>
          <w:noProof/>
        </w:rPr>
        <w:drawing>
          <wp:inline distT="0" distB="0" distL="0" distR="0">
            <wp:extent cx="3048" cy="3049"/>
            <wp:effectExtent l="0" t="0" r="0" b="0"/>
            <wp:docPr id="8489" name="Picture 8489"/>
            <wp:cNvGraphicFramePr/>
            <a:graphic xmlns:a="http://schemas.openxmlformats.org/drawingml/2006/main">
              <a:graphicData uri="http://schemas.openxmlformats.org/drawingml/2006/picture">
                <pic:pic xmlns:pic="http://schemas.openxmlformats.org/drawingml/2006/picture">
                  <pic:nvPicPr>
                    <pic:cNvPr id="8489" name="Picture 8489"/>
                    <pic:cNvPicPr/>
                  </pic:nvPicPr>
                  <pic:blipFill>
                    <a:blip r:embed="rId9"/>
                    <a:stretch>
                      <a:fillRect/>
                    </a:stretch>
                  </pic:blipFill>
                  <pic:spPr>
                    <a:xfrm>
                      <a:off x="0" y="0"/>
                      <a:ext cx="3048" cy="3049"/>
                    </a:xfrm>
                    <a:prstGeom prst="rect">
                      <a:avLst/>
                    </a:prstGeom>
                  </pic:spPr>
                </pic:pic>
              </a:graphicData>
            </a:graphic>
          </wp:inline>
        </w:drawing>
      </w:r>
    </w:p>
    <w:p w:rsidR="000E2373" w:rsidRDefault="00A70AB5">
      <w:pPr>
        <w:spacing w:after="246"/>
        <w:ind w:left="33" w:right="67"/>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853440</wp:posOffset>
                </wp:positionH>
                <wp:positionV relativeFrom="page">
                  <wp:posOffset>9232142</wp:posOffset>
                </wp:positionV>
                <wp:extent cx="5916168" cy="12195"/>
                <wp:effectExtent l="0" t="0" r="0" b="0"/>
                <wp:wrapTopAndBottom/>
                <wp:docPr id="29113" name="Group 29113"/>
                <wp:cNvGraphicFramePr/>
                <a:graphic xmlns:a="http://schemas.openxmlformats.org/drawingml/2006/main">
                  <a:graphicData uri="http://schemas.microsoft.com/office/word/2010/wordprocessingGroup">
                    <wpg:wgp>
                      <wpg:cNvGrpSpPr/>
                      <wpg:grpSpPr>
                        <a:xfrm>
                          <a:off x="0" y="0"/>
                          <a:ext cx="5916168" cy="12195"/>
                          <a:chOff x="0" y="0"/>
                          <a:chExt cx="5916168" cy="12195"/>
                        </a:xfrm>
                      </wpg:grpSpPr>
                      <wps:wsp>
                        <wps:cNvPr id="29112" name="Shape 29112"/>
                        <wps:cNvSpPr/>
                        <wps:spPr>
                          <a:xfrm>
                            <a:off x="0" y="0"/>
                            <a:ext cx="5916168" cy="12195"/>
                          </a:xfrm>
                          <a:custGeom>
                            <a:avLst/>
                            <a:gdLst/>
                            <a:ahLst/>
                            <a:cxnLst/>
                            <a:rect l="0" t="0" r="0" b="0"/>
                            <a:pathLst>
                              <a:path w="5916168" h="12195">
                                <a:moveTo>
                                  <a:pt x="0" y="6097"/>
                                </a:moveTo>
                                <a:lnTo>
                                  <a:pt x="5916168" y="6097"/>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113" style="width:465.84pt;height:0.960266pt;position:absolute;mso-position-horizontal-relative:page;mso-position-horizontal:absolute;margin-left:67.2pt;mso-position-vertical-relative:page;margin-top:726.94pt;" coordsize="59161,121">
                <v:shape id="Shape 29112" style="position:absolute;width:59161;height:121;left:0;top:0;" coordsize="5916168,12195" path="m0,6097l5916168,6097">
                  <v:stroke weight="0.960266pt" endcap="flat" joinstyle="miter" miterlimit="1" on="true" color="#000000"/>
                  <v:fill on="false" color="#000000"/>
                </v:shape>
                <w10:wrap type="topAndBottom"/>
              </v:group>
            </w:pict>
          </mc:Fallback>
        </mc:AlternateContent>
      </w:r>
      <w:r>
        <w:t>These rules and guidelines are adopted in compliance with the Texas Code of Criminal Procedure and may be amended at the discretion of the Courts.</w:t>
      </w:r>
    </w:p>
    <w:p w:rsidR="000E2373" w:rsidRDefault="00A70AB5">
      <w:pPr>
        <w:spacing w:after="241"/>
        <w:ind w:left="33" w:right="67"/>
      </w:pPr>
      <w:r>
        <w:t>The District Judges adopted the hourly rates set forth above, and Ordered that the fee schedule be amended accordingly, at a meeting of Judges Barbara Walther, Ben Woodward, Jay Weatherby, and Tom Gossett on June 15, 2016. That Order was reduced to writing on June 17, 2016, a copy of which is attached.</w:t>
      </w:r>
    </w:p>
    <w:p w:rsidR="000E2373" w:rsidRDefault="00A70AB5">
      <w:pPr>
        <w:spacing w:after="4"/>
        <w:ind w:left="33" w:right="67"/>
      </w:pPr>
      <w:r>
        <w:t xml:space="preserve">The District Judges adopted the increased Fixed Fees as set forth above, and Ordered that the fee schedule be amended accordingly, at a meeting of Judges Barbara Walther, Ben Woodward, Jay Weatherby, and Tom Gossett on August 10, </w:t>
      </w:r>
      <w:r>
        <w:rPr>
          <w:noProof/>
        </w:rPr>
        <w:drawing>
          <wp:inline distT="0" distB="0" distL="0" distR="0">
            <wp:extent cx="3049" cy="3049"/>
            <wp:effectExtent l="0" t="0" r="0" b="0"/>
            <wp:docPr id="8490" name="Picture 8490"/>
            <wp:cNvGraphicFramePr/>
            <a:graphic xmlns:a="http://schemas.openxmlformats.org/drawingml/2006/main">
              <a:graphicData uri="http://schemas.openxmlformats.org/drawingml/2006/picture">
                <pic:pic xmlns:pic="http://schemas.openxmlformats.org/drawingml/2006/picture">
                  <pic:nvPicPr>
                    <pic:cNvPr id="8490" name="Picture 8490"/>
                    <pic:cNvPicPr/>
                  </pic:nvPicPr>
                  <pic:blipFill>
                    <a:blip r:embed="rId12"/>
                    <a:stretch>
                      <a:fillRect/>
                    </a:stretch>
                  </pic:blipFill>
                  <pic:spPr>
                    <a:xfrm>
                      <a:off x="0" y="0"/>
                      <a:ext cx="3049" cy="3049"/>
                    </a:xfrm>
                    <a:prstGeom prst="rect">
                      <a:avLst/>
                    </a:prstGeom>
                  </pic:spPr>
                </pic:pic>
              </a:graphicData>
            </a:graphic>
          </wp:inline>
        </w:drawing>
      </w:r>
      <w:r>
        <w:t>2016. This Schedule reduces to writing the Order rendered by the Courts on August 10, 2016.</w:t>
      </w:r>
    </w:p>
    <w:p w:rsidR="000E2373" w:rsidRDefault="00A70AB5">
      <w:pPr>
        <w:spacing w:after="259"/>
        <w:ind w:left="43" w:firstLine="0"/>
        <w:jc w:val="left"/>
      </w:pPr>
      <w:r>
        <w:rPr>
          <w:rFonts w:ascii="Calibri" w:eastAsia="Calibri" w:hAnsi="Calibri" w:cs="Calibri"/>
          <w:noProof/>
          <w:sz w:val="22"/>
        </w:rPr>
        <mc:AlternateContent>
          <mc:Choice Requires="wpg">
            <w:drawing>
              <wp:inline distT="0" distB="0" distL="0" distR="0">
                <wp:extent cx="5516881" cy="868944"/>
                <wp:effectExtent l="0" t="0" r="0" b="0"/>
                <wp:docPr id="26847" name="Group 26847"/>
                <wp:cNvGraphicFramePr/>
                <a:graphic xmlns:a="http://schemas.openxmlformats.org/drawingml/2006/main">
                  <a:graphicData uri="http://schemas.microsoft.com/office/word/2010/wordprocessingGroup">
                    <wpg:wgp>
                      <wpg:cNvGrpSpPr/>
                      <wpg:grpSpPr>
                        <a:xfrm>
                          <a:off x="0" y="0"/>
                          <a:ext cx="5516881" cy="868944"/>
                          <a:chOff x="0" y="0"/>
                          <a:chExt cx="5516881" cy="868944"/>
                        </a:xfrm>
                      </wpg:grpSpPr>
                      <pic:pic xmlns:pic="http://schemas.openxmlformats.org/drawingml/2006/picture">
                        <pic:nvPicPr>
                          <pic:cNvPr id="29110" name="Picture 29110"/>
                          <pic:cNvPicPr/>
                        </pic:nvPicPr>
                        <pic:blipFill>
                          <a:blip r:embed="rId13"/>
                          <a:stretch>
                            <a:fillRect/>
                          </a:stretch>
                        </pic:blipFill>
                        <pic:spPr>
                          <a:xfrm>
                            <a:off x="67056" y="0"/>
                            <a:ext cx="5449825" cy="847601"/>
                          </a:xfrm>
                          <a:prstGeom prst="rect">
                            <a:avLst/>
                          </a:prstGeom>
                        </pic:spPr>
                      </pic:pic>
                      <wps:wsp>
                        <wps:cNvPr id="7012" name="Rectangle 7012"/>
                        <wps:cNvSpPr/>
                        <wps:spPr>
                          <a:xfrm>
                            <a:off x="0" y="70126"/>
                            <a:ext cx="506730" cy="158147"/>
                          </a:xfrm>
                          <a:prstGeom prst="rect">
                            <a:avLst/>
                          </a:prstGeom>
                          <a:ln>
                            <a:noFill/>
                          </a:ln>
                        </wps:spPr>
                        <wps:txbx>
                          <w:txbxContent>
                            <w:p w:rsidR="000E2373" w:rsidRDefault="00A70AB5">
                              <w:pPr>
                                <w:spacing w:after="160"/>
                                <w:ind w:left="0" w:firstLine="0"/>
                                <w:jc w:val="left"/>
                              </w:pPr>
                              <w:r>
                                <w:t xml:space="preserve">Signed </w:t>
                              </w:r>
                            </w:p>
                          </w:txbxContent>
                        </wps:txbx>
                        <wps:bodyPr horzOverflow="overflow" vert="horz" lIns="0" tIns="0" rIns="0" bIns="0" rtlCol="0">
                          <a:noAutofit/>
                        </wps:bodyPr>
                      </wps:wsp>
                      <wps:wsp>
                        <wps:cNvPr id="7030" name="Rectangle 7030"/>
                        <wps:cNvSpPr/>
                        <wps:spPr>
                          <a:xfrm>
                            <a:off x="3051048" y="746987"/>
                            <a:ext cx="312146" cy="162203"/>
                          </a:xfrm>
                          <a:prstGeom prst="rect">
                            <a:avLst/>
                          </a:prstGeom>
                          <a:ln>
                            <a:noFill/>
                          </a:ln>
                        </wps:spPr>
                        <wps:txbx>
                          <w:txbxContent>
                            <w:p w:rsidR="000E2373" w:rsidRDefault="00A70AB5">
                              <w:pPr>
                                <w:spacing w:after="160"/>
                                <w:ind w:left="0" w:firstLine="0"/>
                                <w:jc w:val="left"/>
                              </w:pPr>
                              <w:r>
                                <w:t xml:space="preserve">Ben </w:t>
                              </w:r>
                            </w:p>
                          </w:txbxContent>
                        </wps:txbx>
                        <wps:bodyPr horzOverflow="overflow" vert="horz" lIns="0" tIns="0" rIns="0" bIns="0" rtlCol="0">
                          <a:noAutofit/>
                        </wps:bodyPr>
                      </wps:wsp>
                      <wps:wsp>
                        <wps:cNvPr id="7031" name="Rectangle 7031"/>
                        <wps:cNvSpPr/>
                        <wps:spPr>
                          <a:xfrm>
                            <a:off x="3285745" y="750036"/>
                            <a:ext cx="851306" cy="158147"/>
                          </a:xfrm>
                          <a:prstGeom prst="rect">
                            <a:avLst/>
                          </a:prstGeom>
                          <a:ln>
                            <a:noFill/>
                          </a:ln>
                        </wps:spPr>
                        <wps:txbx>
                          <w:txbxContent>
                            <w:p w:rsidR="000E2373" w:rsidRDefault="00A70AB5">
                              <w:pPr>
                                <w:spacing w:after="160"/>
                                <w:ind w:left="0" w:firstLine="0"/>
                                <w:jc w:val="left"/>
                              </w:pPr>
                              <w:r>
                                <w:t xml:space="preserve">Woodward, </w:t>
                              </w:r>
                            </w:p>
                          </w:txbxContent>
                        </wps:txbx>
                        <wps:bodyPr horzOverflow="overflow" vert="horz" lIns="0" tIns="0" rIns="0" bIns="0" rtlCol="0">
                          <a:noAutofit/>
                        </wps:bodyPr>
                      </wps:wsp>
                      <wps:wsp>
                        <wps:cNvPr id="7032" name="Rectangle 7032"/>
                        <wps:cNvSpPr/>
                        <wps:spPr>
                          <a:xfrm>
                            <a:off x="3925824" y="753084"/>
                            <a:ext cx="305849" cy="145982"/>
                          </a:xfrm>
                          <a:prstGeom prst="rect">
                            <a:avLst/>
                          </a:prstGeom>
                          <a:ln>
                            <a:noFill/>
                          </a:ln>
                        </wps:spPr>
                        <wps:txbx>
                          <w:txbxContent>
                            <w:p w:rsidR="000E2373" w:rsidRDefault="00A70AB5">
                              <w:pPr>
                                <w:spacing w:after="160"/>
                                <w:ind w:left="0" w:firstLine="0"/>
                                <w:jc w:val="left"/>
                              </w:pPr>
                              <w:r>
                                <w:t xml:space="preserve">119 </w:t>
                              </w:r>
                            </w:p>
                          </w:txbxContent>
                        </wps:txbx>
                        <wps:bodyPr horzOverflow="overflow" vert="horz" lIns="0" tIns="0" rIns="0" bIns="0" rtlCol="0">
                          <a:noAutofit/>
                        </wps:bodyPr>
                      </wps:wsp>
                      <wps:wsp>
                        <wps:cNvPr id="7033" name="Rectangle 7033"/>
                        <wps:cNvSpPr/>
                        <wps:spPr>
                          <a:xfrm>
                            <a:off x="4197096" y="753084"/>
                            <a:ext cx="555376" cy="145982"/>
                          </a:xfrm>
                          <a:prstGeom prst="rect">
                            <a:avLst/>
                          </a:prstGeom>
                          <a:ln>
                            <a:noFill/>
                          </a:ln>
                        </wps:spPr>
                        <wps:txbx>
                          <w:txbxContent>
                            <w:p w:rsidR="000E2373" w:rsidRDefault="00A70AB5">
                              <w:pPr>
                                <w:spacing w:after="160"/>
                                <w:ind w:left="0" w:firstLine="0"/>
                                <w:jc w:val="left"/>
                              </w:pPr>
                              <w:r>
                                <w:t xml:space="preserve">District </w:t>
                              </w:r>
                            </w:p>
                          </w:txbxContent>
                        </wps:txbx>
                        <wps:bodyPr horzOverflow="overflow" vert="horz" lIns="0" tIns="0" rIns="0" bIns="0" rtlCol="0">
                          <a:noAutofit/>
                        </wps:bodyPr>
                      </wps:wsp>
                      <wps:wsp>
                        <wps:cNvPr id="7034" name="Rectangle 7034"/>
                        <wps:cNvSpPr/>
                        <wps:spPr>
                          <a:xfrm>
                            <a:off x="4614672" y="756133"/>
                            <a:ext cx="385116" cy="145982"/>
                          </a:xfrm>
                          <a:prstGeom prst="rect">
                            <a:avLst/>
                          </a:prstGeom>
                          <a:ln>
                            <a:noFill/>
                          </a:ln>
                        </wps:spPr>
                        <wps:txbx>
                          <w:txbxContent>
                            <w:p w:rsidR="000E2373" w:rsidRDefault="00A70AB5">
                              <w:pPr>
                                <w:spacing w:after="160"/>
                                <w:ind w:left="0" w:firstLine="0"/>
                                <w:jc w:val="left"/>
                              </w:pPr>
                              <w:r>
                                <w:t>Court</w:t>
                              </w:r>
                            </w:p>
                          </w:txbxContent>
                        </wps:txbx>
                        <wps:bodyPr horzOverflow="overflow" vert="horz" lIns="0" tIns="0" rIns="0" bIns="0" rtlCol="0">
                          <a:noAutofit/>
                        </wps:bodyPr>
                      </wps:wsp>
                    </wpg:wgp>
                  </a:graphicData>
                </a:graphic>
              </wp:inline>
            </w:drawing>
          </mc:Choice>
          <mc:Fallback xmlns:a="http://schemas.openxmlformats.org/drawingml/2006/main">
            <w:pict>
              <v:group id="Group 26847" style="width:434.4pt;height:68.4207pt;mso-position-horizontal-relative:char;mso-position-vertical-relative:line" coordsize="55168,8689">
                <v:shape id="Picture 29110" style="position:absolute;width:54498;height:8476;left:670;top:0;" filled="f">
                  <v:imagedata r:id="rId15"/>
                </v:shape>
                <v:rect id="Rectangle 7012" style="position:absolute;width:5067;height:1581;left:0;top:701;" filled="f" stroked="f">
                  <v:textbox inset="0,0,0,0">
                    <w:txbxContent>
                      <w:p>
                        <w:pPr>
                          <w:spacing w:before="0" w:after="160" w:line="259" w:lineRule="auto"/>
                          <w:ind w:left="0" w:firstLine="0"/>
                          <w:jc w:val="left"/>
                        </w:pPr>
                        <w:r>
                          <w:rPr>
                            <w:rFonts w:cs="Times New Roman" w:hAnsi="Times New Roman" w:eastAsia="Times New Roman" w:ascii="Times New Roman"/>
                          </w:rPr>
                          <w:t xml:space="preserve">Signed </w:t>
                        </w:r>
                      </w:p>
                    </w:txbxContent>
                  </v:textbox>
                </v:rect>
                <v:rect id="Rectangle 7030" style="position:absolute;width:3121;height:1622;left:30510;top:746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Ben </w:t>
                        </w:r>
                      </w:p>
                    </w:txbxContent>
                  </v:textbox>
                </v:rect>
                <v:rect id="Rectangle 7031" style="position:absolute;width:8513;height:1581;left:32857;top:750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Woodward, </w:t>
                        </w:r>
                      </w:p>
                    </w:txbxContent>
                  </v:textbox>
                </v:rect>
                <v:rect id="Rectangle 7032" style="position:absolute;width:3058;height:1459;left:39258;top:753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119 </w:t>
                        </w:r>
                      </w:p>
                    </w:txbxContent>
                  </v:textbox>
                </v:rect>
                <v:rect id="Rectangle 7033" style="position:absolute;width:5553;height:1459;left:41970;top:7530;" filled="f" stroked="f">
                  <v:textbox inset="0,0,0,0">
                    <w:txbxContent>
                      <w:p>
                        <w:pPr>
                          <w:spacing w:before="0" w:after="160" w:line="259" w:lineRule="auto"/>
                          <w:ind w:left="0" w:firstLine="0"/>
                          <w:jc w:val="left"/>
                        </w:pPr>
                        <w:r>
                          <w:rPr>
                            <w:rFonts w:cs="Times New Roman" w:hAnsi="Times New Roman" w:eastAsia="Times New Roman" w:ascii="Times New Roman"/>
                          </w:rPr>
                          <w:t xml:space="preserve">District </w:t>
                        </w:r>
                      </w:p>
                    </w:txbxContent>
                  </v:textbox>
                </v:rect>
                <v:rect id="Rectangle 7034" style="position:absolute;width:3851;height:1459;left:46146;top:7561;" filled="f" stroked="f">
                  <v:textbox inset="0,0,0,0">
                    <w:txbxContent>
                      <w:p>
                        <w:pPr>
                          <w:spacing w:before="0" w:after="160" w:line="259" w:lineRule="auto"/>
                          <w:ind w:left="0" w:firstLine="0"/>
                          <w:jc w:val="left"/>
                        </w:pPr>
                        <w:r>
                          <w:rPr>
                            <w:rFonts w:cs="Times New Roman" w:hAnsi="Times New Roman" w:eastAsia="Times New Roman" w:ascii="Times New Roman"/>
                          </w:rPr>
                          <w:t xml:space="preserve">Court</w:t>
                        </w:r>
                      </w:p>
                    </w:txbxContent>
                  </v:textbox>
                </v:rect>
              </v:group>
            </w:pict>
          </mc:Fallback>
        </mc:AlternateContent>
      </w:r>
    </w:p>
    <w:p w:rsidR="000E2373" w:rsidRDefault="00A70AB5">
      <w:pPr>
        <w:spacing w:after="0"/>
        <w:ind w:left="-398" w:firstLine="0"/>
        <w:jc w:val="left"/>
      </w:pPr>
      <w:r>
        <w:rPr>
          <w:rFonts w:ascii="Calibri" w:eastAsia="Calibri" w:hAnsi="Calibri" w:cs="Calibri"/>
          <w:noProof/>
          <w:sz w:val="22"/>
        </w:rPr>
        <mc:AlternateContent>
          <mc:Choice Requires="wpg">
            <w:drawing>
              <wp:inline distT="0" distB="0" distL="0" distR="0">
                <wp:extent cx="5312664" cy="1237863"/>
                <wp:effectExtent l="0" t="0" r="0" b="0"/>
                <wp:docPr id="26850" name="Group 26850"/>
                <wp:cNvGraphicFramePr/>
                <a:graphic xmlns:a="http://schemas.openxmlformats.org/drawingml/2006/main">
                  <a:graphicData uri="http://schemas.microsoft.com/office/word/2010/wordprocessingGroup">
                    <wpg:wgp>
                      <wpg:cNvGrpSpPr/>
                      <wpg:grpSpPr>
                        <a:xfrm>
                          <a:off x="0" y="0"/>
                          <a:ext cx="5312664" cy="1237863"/>
                          <a:chOff x="0" y="0"/>
                          <a:chExt cx="5312664" cy="1237863"/>
                        </a:xfrm>
                      </wpg:grpSpPr>
                      <pic:pic xmlns:pic="http://schemas.openxmlformats.org/drawingml/2006/picture">
                        <pic:nvPicPr>
                          <pic:cNvPr id="29111" name="Picture 29111"/>
                          <pic:cNvPicPr/>
                        </pic:nvPicPr>
                        <pic:blipFill>
                          <a:blip r:embed="rId16"/>
                          <a:stretch>
                            <a:fillRect/>
                          </a:stretch>
                        </pic:blipFill>
                        <pic:spPr>
                          <a:xfrm>
                            <a:off x="0" y="0"/>
                            <a:ext cx="5312664" cy="1179933"/>
                          </a:xfrm>
                          <a:prstGeom prst="rect">
                            <a:avLst/>
                          </a:prstGeom>
                        </pic:spPr>
                      </pic:pic>
                      <wps:wsp>
                        <wps:cNvPr id="7053" name="Rectangle 7053"/>
                        <wps:cNvSpPr/>
                        <wps:spPr>
                          <a:xfrm>
                            <a:off x="347472" y="1112857"/>
                            <a:ext cx="437815" cy="162203"/>
                          </a:xfrm>
                          <a:prstGeom prst="rect">
                            <a:avLst/>
                          </a:prstGeom>
                          <a:ln>
                            <a:noFill/>
                          </a:ln>
                        </wps:spPr>
                        <wps:txbx>
                          <w:txbxContent>
                            <w:p w:rsidR="000E2373" w:rsidRDefault="00A70AB5">
                              <w:pPr>
                                <w:spacing w:after="160"/>
                                <w:ind w:left="0" w:firstLine="0"/>
                                <w:jc w:val="left"/>
                              </w:pPr>
                              <w:r>
                                <w:t xml:space="preserve">Judge </w:t>
                              </w:r>
                            </w:p>
                          </w:txbxContent>
                        </wps:txbx>
                        <wps:bodyPr horzOverflow="overflow" vert="horz" lIns="0" tIns="0" rIns="0" bIns="0" rtlCol="0">
                          <a:noAutofit/>
                        </wps:bodyPr>
                      </wps:wsp>
                      <wps:wsp>
                        <wps:cNvPr id="7054" name="Rectangle 7054"/>
                        <wps:cNvSpPr/>
                        <wps:spPr>
                          <a:xfrm>
                            <a:off x="676656" y="1115906"/>
                            <a:ext cx="364846" cy="154092"/>
                          </a:xfrm>
                          <a:prstGeom prst="rect">
                            <a:avLst/>
                          </a:prstGeom>
                          <a:ln>
                            <a:noFill/>
                          </a:ln>
                        </wps:spPr>
                        <wps:txbx>
                          <w:txbxContent>
                            <w:p w:rsidR="000E2373" w:rsidRDefault="00A70AB5">
                              <w:pPr>
                                <w:spacing w:after="160"/>
                                <w:ind w:left="0" w:firstLine="0"/>
                                <w:jc w:val="left"/>
                              </w:pPr>
                              <w:r>
                                <w:t xml:space="preserve">Tom </w:t>
                              </w:r>
                            </w:p>
                          </w:txbxContent>
                        </wps:txbx>
                        <wps:bodyPr horzOverflow="overflow" vert="horz" lIns="0" tIns="0" rIns="0" bIns="0" rtlCol="0">
                          <a:noAutofit/>
                        </wps:bodyPr>
                      </wps:wsp>
                      <wps:wsp>
                        <wps:cNvPr id="7055" name="Rectangle 7055"/>
                        <wps:cNvSpPr/>
                        <wps:spPr>
                          <a:xfrm>
                            <a:off x="950976" y="1115906"/>
                            <a:ext cx="587807" cy="154092"/>
                          </a:xfrm>
                          <a:prstGeom prst="rect">
                            <a:avLst/>
                          </a:prstGeom>
                          <a:ln>
                            <a:noFill/>
                          </a:ln>
                        </wps:spPr>
                        <wps:txbx>
                          <w:txbxContent>
                            <w:p w:rsidR="000E2373" w:rsidRDefault="00A70AB5">
                              <w:pPr>
                                <w:spacing w:after="160"/>
                                <w:ind w:left="0" w:firstLine="0"/>
                                <w:jc w:val="left"/>
                              </w:pPr>
                              <w:r>
                                <w:t xml:space="preserve">Gossett, </w:t>
                              </w:r>
                            </w:p>
                          </w:txbxContent>
                        </wps:txbx>
                        <wps:bodyPr horzOverflow="overflow" vert="horz" lIns="0" tIns="0" rIns="0" bIns="0" rtlCol="0">
                          <a:noAutofit/>
                        </wps:bodyPr>
                      </wps:wsp>
                      <wps:wsp>
                        <wps:cNvPr id="7056" name="Rectangle 7056"/>
                        <wps:cNvSpPr/>
                        <wps:spPr>
                          <a:xfrm>
                            <a:off x="1392936" y="1115906"/>
                            <a:ext cx="482407" cy="162203"/>
                          </a:xfrm>
                          <a:prstGeom prst="rect">
                            <a:avLst/>
                          </a:prstGeom>
                          <a:ln>
                            <a:noFill/>
                          </a:ln>
                        </wps:spPr>
                        <wps:txbx>
                          <w:txbxContent>
                            <w:p w:rsidR="000E2373" w:rsidRDefault="00A70AB5">
                              <w:pPr>
                                <w:spacing w:after="160"/>
                                <w:ind w:left="0" w:firstLine="0"/>
                                <w:jc w:val="left"/>
                              </w:pPr>
                              <w:r>
                                <w:t xml:space="preserve">Senior </w:t>
                              </w:r>
                            </w:p>
                          </w:txbxContent>
                        </wps:txbx>
                        <wps:bodyPr horzOverflow="overflow" vert="horz" lIns="0" tIns="0" rIns="0" bIns="0" rtlCol="0">
                          <a:noAutofit/>
                        </wps:bodyPr>
                      </wps:wsp>
                      <wps:wsp>
                        <wps:cNvPr id="7057" name="Rectangle 7057"/>
                        <wps:cNvSpPr/>
                        <wps:spPr>
                          <a:xfrm>
                            <a:off x="1755648" y="1115906"/>
                            <a:ext cx="397276" cy="162203"/>
                          </a:xfrm>
                          <a:prstGeom prst="rect">
                            <a:avLst/>
                          </a:prstGeom>
                          <a:ln>
                            <a:noFill/>
                          </a:ln>
                        </wps:spPr>
                        <wps:txbx>
                          <w:txbxContent>
                            <w:p w:rsidR="000E2373" w:rsidRDefault="00A70AB5">
                              <w:pPr>
                                <w:spacing w:after="160"/>
                                <w:ind w:left="0" w:firstLine="0"/>
                                <w:jc w:val="left"/>
                              </w:pPr>
                              <w:r>
                                <w:t>Judge</w:t>
                              </w:r>
                            </w:p>
                          </w:txbxContent>
                        </wps:txbx>
                        <wps:bodyPr horzOverflow="overflow" vert="horz" lIns="0" tIns="0" rIns="0" bIns="0" rtlCol="0">
                          <a:noAutofit/>
                        </wps:bodyPr>
                      </wps:wsp>
                    </wpg:wgp>
                  </a:graphicData>
                </a:graphic>
              </wp:inline>
            </w:drawing>
          </mc:Choice>
          <mc:Fallback xmlns:a="http://schemas.openxmlformats.org/drawingml/2006/main">
            <w:pict>
              <v:group id="Group 26850" style="width:418.32pt;height:97.4695pt;mso-position-horizontal-relative:char;mso-position-vertical-relative:line" coordsize="53126,12378">
                <v:shape id="Picture 29111" style="position:absolute;width:53126;height:11799;left:0;top:0;" filled="f">
                  <v:imagedata r:id="rId17"/>
                </v:shape>
                <v:rect id="Rectangle 7053" style="position:absolute;width:4378;height:1622;left:3474;top:11128;" filled="f" stroked="f">
                  <v:textbox inset="0,0,0,0">
                    <w:txbxContent>
                      <w:p>
                        <w:pPr>
                          <w:spacing w:before="0" w:after="160" w:line="259" w:lineRule="auto"/>
                          <w:ind w:left="0" w:firstLine="0"/>
                          <w:jc w:val="left"/>
                        </w:pPr>
                        <w:r>
                          <w:rPr>
                            <w:rFonts w:cs="Times New Roman" w:hAnsi="Times New Roman" w:eastAsia="Times New Roman" w:ascii="Times New Roman"/>
                          </w:rPr>
                          <w:t xml:space="preserve">Judge </w:t>
                        </w:r>
                      </w:p>
                    </w:txbxContent>
                  </v:textbox>
                </v:rect>
                <v:rect id="Rectangle 7054" style="position:absolute;width:3648;height:1540;left:6766;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Tom </w:t>
                        </w:r>
                      </w:p>
                    </w:txbxContent>
                  </v:textbox>
                </v:rect>
                <v:rect id="Rectangle 7055" style="position:absolute;width:5878;height:1540;left:9509;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Gossett, </w:t>
                        </w:r>
                      </w:p>
                    </w:txbxContent>
                  </v:textbox>
                </v:rect>
                <v:rect id="Rectangle 7056" style="position:absolute;width:4824;height:1622;left:13929;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Senior </w:t>
                        </w:r>
                      </w:p>
                    </w:txbxContent>
                  </v:textbox>
                </v:rect>
                <v:rect id="Rectangle 7057" style="position:absolute;width:3972;height:1622;left:17556;top:11159;" filled="f" stroked="f">
                  <v:textbox inset="0,0,0,0">
                    <w:txbxContent>
                      <w:p>
                        <w:pPr>
                          <w:spacing w:before="0" w:after="160" w:line="259" w:lineRule="auto"/>
                          <w:ind w:left="0" w:firstLine="0"/>
                          <w:jc w:val="left"/>
                        </w:pPr>
                        <w:r>
                          <w:rPr>
                            <w:rFonts w:cs="Times New Roman" w:hAnsi="Times New Roman" w:eastAsia="Times New Roman" w:ascii="Times New Roman"/>
                          </w:rPr>
                          <w:t xml:space="preserve">Judge</w:t>
                        </w:r>
                      </w:p>
                    </w:txbxContent>
                  </v:textbox>
                </v:rect>
              </v:group>
            </w:pict>
          </mc:Fallback>
        </mc:AlternateContent>
      </w:r>
    </w:p>
    <w:p w:rsidR="000E2373" w:rsidRDefault="000E2373" w:rsidP="008C5356">
      <w:pPr>
        <w:spacing w:after="3"/>
        <w:ind w:left="2789" w:hanging="10"/>
        <w:jc w:val="center"/>
      </w:pPr>
    </w:p>
    <w:sectPr w:rsidR="000E2373">
      <w:footerReference w:type="even" r:id="rId18"/>
      <w:footerReference w:type="default" r:id="rId19"/>
      <w:footerReference w:type="first" r:id="rId20"/>
      <w:pgSz w:w="12240" w:h="15840"/>
      <w:pgMar w:top="1521" w:right="1944" w:bottom="619" w:left="12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B5" w:rsidRDefault="00A70AB5">
      <w:pPr>
        <w:spacing w:after="0" w:line="240" w:lineRule="auto"/>
      </w:pPr>
      <w:r>
        <w:separator/>
      </w:r>
    </w:p>
  </w:endnote>
  <w:endnote w:type="continuationSeparator" w:id="0">
    <w:p w:rsidR="00A70AB5" w:rsidRDefault="00A7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0E2373">
    <w:pPr>
      <w:spacing w:after="160"/>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A70AB5">
    <w:pPr>
      <w:tabs>
        <w:tab w:val="center" w:pos="3065"/>
        <w:tab w:val="center" w:pos="6036"/>
      </w:tabs>
      <w:spacing w:after="0"/>
      <w:ind w:left="0" w:firstLine="0"/>
      <w:jc w:val="left"/>
    </w:pPr>
    <w:r>
      <w:rPr>
        <w:rFonts w:ascii="Calibri" w:eastAsia="Calibri" w:hAnsi="Calibri" w:cs="Calibri"/>
        <w:sz w:val="2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373" w:rsidRDefault="00A70AB5">
    <w:pPr>
      <w:tabs>
        <w:tab w:val="center" w:pos="3065"/>
        <w:tab w:val="center" w:pos="6036"/>
      </w:tabs>
      <w:spacing w:after="0"/>
      <w:ind w:left="0" w:firstLine="0"/>
      <w:jc w:val="left"/>
    </w:pPr>
    <w:r>
      <w:rPr>
        <w:rFonts w:ascii="Calibri" w:eastAsia="Calibri" w:hAnsi="Calibri" w:cs="Calibri"/>
        <w:sz w:val="22"/>
      </w:rPr>
      <w:tab/>
    </w:r>
    <w:r>
      <w:rPr>
        <w:rFonts w:ascii="Calibri" w:eastAsia="Calibri" w:hAnsi="Calibri" w:cs="Calibri"/>
        <w:sz w:val="24"/>
      </w:rPr>
      <w:t xml:space="preserve">REQUEST </w:t>
    </w:r>
    <w:r>
      <w:rPr>
        <w:rFonts w:ascii="Calibri" w:eastAsia="Calibri" w:hAnsi="Calibri" w:cs="Calibri"/>
        <w:sz w:val="24"/>
      </w:rPr>
      <w:tab/>
    </w:r>
    <w:r>
      <w:rPr>
        <w:rFonts w:ascii="Calibri" w:eastAsia="Calibri" w:hAnsi="Calibri" w:cs="Calibri"/>
        <w:sz w:val="22"/>
      </w:rPr>
      <w:t xml:space="preserve">AND </w:t>
    </w:r>
    <w:r>
      <w:rPr>
        <w:rFonts w:ascii="Calibri" w:eastAsia="Calibri" w:hAnsi="Calibri" w:cs="Calibri"/>
        <w:sz w:val="24"/>
      </w:rPr>
      <w:t xml:space="preserve">ORDER REGARDING ATTORNEY </w:t>
    </w:r>
    <w:r>
      <w:rPr>
        <w:rFonts w:ascii="Calibri" w:eastAsia="Calibri" w:hAnsi="Calibri" w:cs="Calibri"/>
        <w:sz w:val="26"/>
      </w:rPr>
      <w:t>FEES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B5" w:rsidRDefault="00A70AB5">
      <w:pPr>
        <w:spacing w:after="0" w:line="240" w:lineRule="auto"/>
      </w:pPr>
      <w:r>
        <w:separator/>
      </w:r>
    </w:p>
  </w:footnote>
  <w:footnote w:type="continuationSeparator" w:id="0">
    <w:p w:rsidR="00A70AB5" w:rsidRDefault="00A70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E3485"/>
    <w:multiLevelType w:val="hybridMultilevel"/>
    <w:tmpl w:val="27D0C850"/>
    <w:lvl w:ilvl="0" w:tplc="4C68BB96">
      <w:start w:val="6"/>
      <w:numFmt w:val="upperRoman"/>
      <w:lvlText w:val="%1."/>
      <w:lvlJc w:val="left"/>
      <w:pPr>
        <w:ind w:left="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5A4154">
      <w:start w:val="1"/>
      <w:numFmt w:val="lowerLetter"/>
      <w:lvlText w:val="%2"/>
      <w:lvlJc w:val="left"/>
      <w:pPr>
        <w:ind w:left="1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543E4C">
      <w:start w:val="1"/>
      <w:numFmt w:val="lowerRoman"/>
      <w:lvlText w:val="%3"/>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C603072">
      <w:start w:val="1"/>
      <w:numFmt w:val="decimal"/>
      <w:lvlText w:val="%4"/>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EA1FD2">
      <w:start w:val="1"/>
      <w:numFmt w:val="lowerLetter"/>
      <w:lvlText w:val="%5"/>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DE94FC">
      <w:start w:val="1"/>
      <w:numFmt w:val="lowerRoman"/>
      <w:lvlText w:val="%6"/>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D6D068">
      <w:start w:val="1"/>
      <w:numFmt w:val="decimal"/>
      <w:lvlText w:val="%7"/>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8508CB0">
      <w:start w:val="1"/>
      <w:numFmt w:val="lowerLetter"/>
      <w:lvlText w:val="%8"/>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ACEE630">
      <w:start w:val="1"/>
      <w:numFmt w:val="lowerRoman"/>
      <w:lvlText w:val="%9"/>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996791"/>
    <w:multiLevelType w:val="hybridMultilevel"/>
    <w:tmpl w:val="0A84D0C8"/>
    <w:lvl w:ilvl="0" w:tplc="175A446C">
      <w:start w:val="1"/>
      <w:numFmt w:val="upperLetter"/>
      <w:lvlText w:val="%1."/>
      <w:lvlJc w:val="left"/>
      <w:pPr>
        <w:ind w:left="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527460">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CC482C">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95843FC">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F0FEFA">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3A17A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DEA21FE">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EE0E9FA">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2DC">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CA6356C"/>
    <w:multiLevelType w:val="hybridMultilevel"/>
    <w:tmpl w:val="706EB2EE"/>
    <w:lvl w:ilvl="0" w:tplc="F59E3536">
      <w:start w:val="4"/>
      <w:numFmt w:val="upperRoman"/>
      <w:lvlText w:val="%1."/>
      <w:lvlJc w:val="left"/>
      <w:pPr>
        <w:ind w:left="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9E6958">
      <w:start w:val="1"/>
      <w:numFmt w:val="lowerLetter"/>
      <w:lvlText w:val="%2"/>
      <w:lvlJc w:val="left"/>
      <w:pPr>
        <w:ind w:left="10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6EA12">
      <w:start w:val="1"/>
      <w:numFmt w:val="lowerRoman"/>
      <w:lvlText w:val="%3"/>
      <w:lvlJc w:val="left"/>
      <w:pPr>
        <w:ind w:left="1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F029D6">
      <w:start w:val="1"/>
      <w:numFmt w:val="decimal"/>
      <w:lvlText w:val="%4"/>
      <w:lvlJc w:val="left"/>
      <w:pPr>
        <w:ind w:left="25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B4F4B6">
      <w:start w:val="1"/>
      <w:numFmt w:val="lowerLetter"/>
      <w:lvlText w:val="%5"/>
      <w:lvlJc w:val="left"/>
      <w:pPr>
        <w:ind w:left="32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962524">
      <w:start w:val="1"/>
      <w:numFmt w:val="lowerRoman"/>
      <w:lvlText w:val="%6"/>
      <w:lvlJc w:val="left"/>
      <w:pPr>
        <w:ind w:left="39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6A0A06">
      <w:start w:val="1"/>
      <w:numFmt w:val="decimal"/>
      <w:lvlText w:val="%7"/>
      <w:lvlJc w:val="left"/>
      <w:pPr>
        <w:ind w:left="46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DA90A0">
      <w:start w:val="1"/>
      <w:numFmt w:val="lowerLetter"/>
      <w:lvlText w:val="%8"/>
      <w:lvlJc w:val="left"/>
      <w:pPr>
        <w:ind w:left="54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32C32A">
      <w:start w:val="1"/>
      <w:numFmt w:val="lowerRoman"/>
      <w:lvlText w:val="%9"/>
      <w:lvlJc w:val="left"/>
      <w:pPr>
        <w:ind w:left="61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373"/>
    <w:rsid w:val="000E2373"/>
    <w:rsid w:val="005D0374"/>
    <w:rsid w:val="006A4C20"/>
    <w:rsid w:val="006B4959"/>
    <w:rsid w:val="00704E3B"/>
    <w:rsid w:val="00800818"/>
    <w:rsid w:val="008C5356"/>
    <w:rsid w:val="00A70AB5"/>
    <w:rsid w:val="00BE5A43"/>
    <w:rsid w:val="00DB1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C4A2358-6CD9-4031-96C3-EAE0BC59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9"/>
      <w:ind w:left="48" w:hanging="5"/>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62"/>
      <w:ind w:right="91"/>
      <w:jc w:val="center"/>
      <w:outlineLvl w:val="0"/>
    </w:pPr>
    <w:rPr>
      <w:rFonts w:ascii="Calibri" w:eastAsia="Calibri" w:hAnsi="Calibri" w:cs="Calibri"/>
      <w:color w:val="000000"/>
      <w:sz w:val="30"/>
      <w:u w:val="single" w:color="000000"/>
    </w:rPr>
  </w:style>
  <w:style w:type="paragraph" w:styleId="Heading2">
    <w:name w:val="heading 2"/>
    <w:next w:val="Normal"/>
    <w:link w:val="Heading2Char"/>
    <w:uiPriority w:val="9"/>
    <w:unhideWhenUsed/>
    <w:qFormat/>
    <w:pPr>
      <w:keepNext/>
      <w:keepLines/>
      <w:spacing w:after="35"/>
      <w:ind w:left="53"/>
      <w:outlineLvl w:val="1"/>
    </w:pPr>
    <w:rPr>
      <w:rFonts w:ascii="Calibri" w:eastAsia="Calibri" w:hAnsi="Calibri" w:cs="Calibri"/>
      <w:color w:val="000000"/>
      <w:sz w:val="32"/>
    </w:rPr>
  </w:style>
  <w:style w:type="paragraph" w:styleId="Heading3">
    <w:name w:val="heading 3"/>
    <w:next w:val="Normal"/>
    <w:link w:val="Heading3Char"/>
    <w:uiPriority w:val="9"/>
    <w:unhideWhenUsed/>
    <w:qFormat/>
    <w:pPr>
      <w:keepNext/>
      <w:keepLines/>
      <w:spacing w:after="145"/>
      <w:ind w:right="38"/>
      <w:jc w:val="right"/>
      <w:outlineLvl w:val="2"/>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8"/>
      <w:u w:val="single" w:color="000000"/>
    </w:rPr>
  </w:style>
  <w:style w:type="character" w:customStyle="1" w:styleId="Heading1Char">
    <w:name w:val="Heading 1 Char"/>
    <w:link w:val="Heading1"/>
    <w:rPr>
      <w:rFonts w:ascii="Calibri" w:eastAsia="Calibri" w:hAnsi="Calibri" w:cs="Calibri"/>
      <w:color w:val="000000"/>
      <w:sz w:val="30"/>
      <w:u w:val="single" w:color="000000"/>
    </w:rPr>
  </w:style>
  <w:style w:type="character" w:customStyle="1" w:styleId="Heading2Char">
    <w:name w:val="Heading 2 Char"/>
    <w:link w:val="Heading2"/>
    <w:rPr>
      <w:rFonts w:ascii="Calibri" w:eastAsia="Calibri" w:hAnsi="Calibri" w:cs="Calibr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C5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356"/>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87.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6.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75616-7220-435A-B84C-E8DD1A21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961</Words>
  <Characters>5057</Characters>
  <Application>Microsoft Office Word</Application>
  <DocSecurity>0</DocSecurity>
  <Lines>297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Weatherby</dc:creator>
  <cp:keywords/>
  <cp:lastModifiedBy>Brad Goodwin</cp:lastModifiedBy>
  <cp:revision>2</cp:revision>
  <dcterms:created xsi:type="dcterms:W3CDTF">2022-01-13T22:47:00Z</dcterms:created>
  <dcterms:modified xsi:type="dcterms:W3CDTF">2022-01-13T22:47:00Z</dcterms:modified>
</cp:coreProperties>
</file>